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944BBB" w:rsidRPr="00B75835" w:rsidTr="00BC4959">
        <w:tc>
          <w:tcPr>
            <w:tcW w:w="9062" w:type="dxa"/>
            <w:shd w:val="clear" w:color="auto" w:fill="D9D9D9"/>
          </w:tcPr>
          <w:p w:rsidR="00944BBB" w:rsidRPr="00B75835" w:rsidRDefault="00944BBB" w:rsidP="00837C9E">
            <w:pPr>
              <w:jc w:val="center"/>
              <w:rPr>
                <w:rFonts w:ascii="Calibri" w:hAnsi="Calibri" w:cs="Calibri"/>
                <w:b/>
              </w:rPr>
            </w:pPr>
            <w:r w:rsidRPr="00B75835">
              <w:rPr>
                <w:rFonts w:ascii="Calibri" w:hAnsi="Calibri" w:cs="Calibri"/>
                <w:b/>
              </w:rPr>
              <w:t>Opis przedmiotu zamówienia</w:t>
            </w:r>
          </w:p>
        </w:tc>
      </w:tr>
    </w:tbl>
    <w:p w:rsidR="00A165F6" w:rsidRDefault="00A165F6" w:rsidP="00A165F6"/>
    <w:p w:rsidR="009F631A" w:rsidRPr="002C3583" w:rsidRDefault="009F631A" w:rsidP="009F631A">
      <w:pPr>
        <w:spacing w:after="0" w:line="276" w:lineRule="auto"/>
        <w:jc w:val="both"/>
        <w:rPr>
          <w:rFonts w:ascii="Calibri" w:hAnsi="Calibri" w:cs="Calibri"/>
          <w:b/>
          <w:bCs/>
        </w:rPr>
      </w:pPr>
      <w:r w:rsidRPr="002C3583">
        <w:rPr>
          <w:rFonts w:ascii="Calibri" w:hAnsi="Calibri" w:cs="Calibri"/>
          <w:b/>
          <w:bCs/>
        </w:rPr>
        <w:t>Zakres przedmiotu zamówienia obejmuje:</w:t>
      </w:r>
    </w:p>
    <w:p w:rsidR="009F631A" w:rsidRPr="002C3583" w:rsidRDefault="009F631A" w:rsidP="009F631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libri" w:hAnsi="Calibri" w:cs="Calibri"/>
          <w:b/>
          <w:bCs/>
        </w:rPr>
      </w:pPr>
      <w:r w:rsidRPr="002C3583">
        <w:rPr>
          <w:rFonts w:eastAsia="Courier New"/>
        </w:rPr>
        <w:t>Demontaż i utylizację starego  klimatyzatora oraz dostawę, montaż</w:t>
      </w:r>
      <w:r w:rsidR="00E37F3A">
        <w:rPr>
          <w:rFonts w:eastAsia="Courier New"/>
        </w:rPr>
        <w:t xml:space="preserve">, </w:t>
      </w:r>
      <w:r w:rsidR="00B2343B">
        <w:rPr>
          <w:rFonts w:eastAsia="Courier New"/>
        </w:rPr>
        <w:t>w</w:t>
      </w:r>
      <w:r w:rsidR="00B2343B" w:rsidRPr="002C3583">
        <w:rPr>
          <w:rFonts w:eastAsia="Courier New"/>
        </w:rPr>
        <w:t xml:space="preserve">ykonanie instalacji </w:t>
      </w:r>
      <w:r w:rsidR="00B2343B">
        <w:rPr>
          <w:rFonts w:eastAsia="Courier New"/>
        </w:rPr>
        <w:t xml:space="preserve">oraz </w:t>
      </w:r>
      <w:r w:rsidRPr="002C3583">
        <w:rPr>
          <w:rFonts w:eastAsia="Courier New"/>
        </w:rPr>
        <w:t>uruchomienie nowego klimatyzatora,</w:t>
      </w:r>
    </w:p>
    <w:p w:rsidR="009F631A" w:rsidRPr="002C3583" w:rsidRDefault="00B2343B" w:rsidP="009F631A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eastAsia="Courier New"/>
        </w:rPr>
        <w:t xml:space="preserve">Wykonanie </w:t>
      </w:r>
      <w:r w:rsidR="009F631A" w:rsidRPr="002C3583">
        <w:rPr>
          <w:rFonts w:eastAsia="Courier New"/>
        </w:rPr>
        <w:t>przeglądów okresowych i konserwacji w czasie trwania gwarancji.</w:t>
      </w:r>
    </w:p>
    <w:p w:rsidR="009F631A" w:rsidRPr="00C70D88" w:rsidRDefault="009F631A" w:rsidP="002C3583">
      <w:pPr>
        <w:autoSpaceDE w:val="0"/>
        <w:spacing w:line="240" w:lineRule="auto"/>
        <w:jc w:val="both"/>
        <w:rPr>
          <w:rFonts w:eastAsia="Courier New"/>
        </w:rPr>
      </w:pPr>
      <w:r w:rsidRPr="00C70D88">
        <w:rPr>
          <w:rFonts w:ascii="Calibri" w:hAnsi="Calibri" w:cs="Calibri"/>
        </w:rPr>
        <w:t>Zakres przedmiotu zamówienia d</w:t>
      </w:r>
      <w:r w:rsidR="006A7C54" w:rsidRPr="00C70D88">
        <w:rPr>
          <w:rFonts w:eastAsia="Courier New"/>
        </w:rPr>
        <w:t xml:space="preserve">otyczy klimatyzatora w serwerowni </w:t>
      </w:r>
      <w:r w:rsidRPr="00C70D88">
        <w:rPr>
          <w:rFonts w:eastAsia="Courier New"/>
        </w:rPr>
        <w:t xml:space="preserve">Prokuratury Rejonowej Warszawa </w:t>
      </w:r>
      <w:r w:rsidR="00E37F3A" w:rsidRPr="00C70D88">
        <w:rPr>
          <w:rFonts w:eastAsia="Courier New"/>
        </w:rPr>
        <w:t>–</w:t>
      </w:r>
      <w:r w:rsidRPr="00C70D88">
        <w:rPr>
          <w:rFonts w:eastAsia="Courier New"/>
        </w:rPr>
        <w:t xml:space="preserve"> </w:t>
      </w:r>
      <w:r w:rsidR="006A7C54" w:rsidRPr="00C70D88">
        <w:rPr>
          <w:rFonts w:eastAsia="Courier New"/>
        </w:rPr>
        <w:t>Żoliborz</w:t>
      </w:r>
      <w:r w:rsidR="00E37F3A" w:rsidRPr="00C70D88">
        <w:rPr>
          <w:rFonts w:eastAsia="Courier New"/>
        </w:rPr>
        <w:t xml:space="preserve"> w Warszawie</w:t>
      </w:r>
      <w:r w:rsidR="006A7C54" w:rsidRPr="00C70D88">
        <w:rPr>
          <w:rFonts w:eastAsia="Courier New"/>
        </w:rPr>
        <w:t>, ul. Krasińskiego 65</w:t>
      </w:r>
      <w:r w:rsidRPr="00C70D88">
        <w:rPr>
          <w:rFonts w:eastAsia="Courier New"/>
        </w:rPr>
        <w:t xml:space="preserve">, w Warszawie. </w:t>
      </w:r>
      <w:bookmarkStart w:id="0" w:name="_GoBack"/>
      <w:bookmarkEnd w:id="0"/>
    </w:p>
    <w:p w:rsidR="009F631A" w:rsidRPr="002C3583" w:rsidRDefault="009F631A" w:rsidP="009F631A">
      <w:pPr>
        <w:jc w:val="both"/>
      </w:pPr>
      <w:r w:rsidRPr="002C3583">
        <w:t>Szczegółowy zakres zamówienia obejmuje: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Demontaż istniejącej jednostki zewnętrznej i wewnętrznej oraz ich utylizację,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 xml:space="preserve">Dostarczenie nowego zestawu klimatyzacji firmy: </w:t>
      </w:r>
      <w:proofErr w:type="spellStart"/>
      <w:r w:rsidRPr="002C3583">
        <w:t>Daikin</w:t>
      </w:r>
      <w:proofErr w:type="spellEnd"/>
      <w:r w:rsidRPr="002C3583">
        <w:t xml:space="preserve">, Toshiba lub Mitsubishi lub </w:t>
      </w:r>
      <w:proofErr w:type="spellStart"/>
      <w:r w:rsidRPr="002C3583">
        <w:t>Gree</w:t>
      </w:r>
      <w:proofErr w:type="spellEnd"/>
      <w:r w:rsidRPr="002C3583">
        <w:t>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Klimatyzator komercyjny przystosowany do pracy ciągłej,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Montaż  urządzenia o mocy nie mniejszej niż 10 KW i nie większej niż 12 KW,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Demontaż istniejącej instalacji i montaż nowej, przystosowanej do nowego urządzenia,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Podpięcie urządzenia do istniejącej instalacji elektrycznej</w:t>
      </w:r>
      <w:r w:rsidR="002C3583">
        <w:t>,</w:t>
      </w:r>
    </w:p>
    <w:p w:rsidR="009F631A" w:rsidRPr="002C3583" w:rsidRDefault="009F631A" w:rsidP="009F631A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Uruchomienie i kontrola pracy urządzeń,</w:t>
      </w:r>
    </w:p>
    <w:p w:rsidR="009F631A" w:rsidRPr="002C3583" w:rsidRDefault="009F631A" w:rsidP="002C3583">
      <w:pPr>
        <w:pStyle w:val="Akapitzlist"/>
        <w:numPr>
          <w:ilvl w:val="0"/>
          <w:numId w:val="4"/>
        </w:numPr>
        <w:ind w:left="426" w:hanging="426"/>
        <w:jc w:val="both"/>
      </w:pPr>
      <w:r w:rsidRPr="002C3583">
        <w:t>Gwarancja nie krótsza niż 60 miesięcy,</w:t>
      </w:r>
    </w:p>
    <w:p w:rsidR="009F631A" w:rsidRPr="00CE4AAF" w:rsidRDefault="009F631A" w:rsidP="009F631A">
      <w:pPr>
        <w:jc w:val="both"/>
        <w:rPr>
          <w:b/>
        </w:rPr>
      </w:pPr>
      <w:r w:rsidRPr="00CE4AAF">
        <w:rPr>
          <w:b/>
        </w:rPr>
        <w:t xml:space="preserve">Termin wykonania prac wynosi: </w:t>
      </w:r>
    </w:p>
    <w:p w:rsidR="009F631A" w:rsidRPr="00CE4AAF" w:rsidRDefault="00CE4AAF" w:rsidP="009F631A">
      <w:pPr>
        <w:pStyle w:val="Akapitzlist"/>
        <w:numPr>
          <w:ilvl w:val="0"/>
          <w:numId w:val="5"/>
        </w:numPr>
        <w:jc w:val="both"/>
      </w:pPr>
      <w:r>
        <w:t xml:space="preserve">Do dnia </w:t>
      </w:r>
      <w:r w:rsidR="009F631A" w:rsidRPr="00CE4AAF">
        <w:t xml:space="preserve">10 grudnia 2025 r. </w:t>
      </w:r>
    </w:p>
    <w:p w:rsidR="009F631A" w:rsidRPr="00CE4AAF" w:rsidRDefault="009F631A" w:rsidP="009F631A">
      <w:pPr>
        <w:pStyle w:val="Akapitzlist"/>
        <w:numPr>
          <w:ilvl w:val="0"/>
          <w:numId w:val="5"/>
        </w:numPr>
        <w:jc w:val="both"/>
      </w:pPr>
      <w:r w:rsidRPr="00CE4AAF">
        <w:t>Przeglądy serwisowe w okresie 5 lat (ilość przeglądów zgodnie z wymogami producenta)</w:t>
      </w:r>
    </w:p>
    <w:p w:rsidR="009F631A" w:rsidRPr="00CE4AAF" w:rsidRDefault="009F631A" w:rsidP="009F631A">
      <w:pPr>
        <w:pStyle w:val="Akapitzlist"/>
        <w:ind w:left="708"/>
        <w:jc w:val="both"/>
      </w:pPr>
      <w:r w:rsidRPr="00CE4AAF">
        <w:t xml:space="preserve">Pierwszy przegląd: </w:t>
      </w:r>
    </w:p>
    <w:p w:rsidR="002C3583" w:rsidRPr="00CE4AAF" w:rsidRDefault="009F631A" w:rsidP="002C3583">
      <w:pPr>
        <w:pStyle w:val="Akapitzlist"/>
        <w:ind w:left="708"/>
        <w:jc w:val="both"/>
      </w:pPr>
      <w:r w:rsidRPr="00CE4AAF">
        <w:t>3 miesiące od daty uruchomienia urządzenia i podpisania protokołu odbioru prac.</w:t>
      </w:r>
    </w:p>
    <w:p w:rsidR="002C3583" w:rsidRPr="002C3583" w:rsidRDefault="002C3583" w:rsidP="002C3583">
      <w:pPr>
        <w:pStyle w:val="Akapitzlist"/>
        <w:ind w:left="708"/>
        <w:jc w:val="both"/>
      </w:pPr>
    </w:p>
    <w:p w:rsidR="009F631A" w:rsidRPr="00CE4AAF" w:rsidRDefault="009F631A" w:rsidP="009F631A">
      <w:pPr>
        <w:jc w:val="both"/>
        <w:rPr>
          <w:u w:val="single"/>
        </w:rPr>
      </w:pPr>
      <w:r w:rsidRPr="00CE4AAF">
        <w:rPr>
          <w:u w:val="single"/>
        </w:rPr>
        <w:t xml:space="preserve">Istnieje możliwość wizji lokalnej w terminie uzgodnionym z Zamawiającym. </w:t>
      </w:r>
    </w:p>
    <w:p w:rsidR="009F631A" w:rsidRPr="006A7C54" w:rsidRDefault="009F631A" w:rsidP="009F631A">
      <w:pPr>
        <w:jc w:val="both"/>
        <w:rPr>
          <w:color w:val="FF0000"/>
        </w:rPr>
      </w:pPr>
    </w:p>
    <w:p w:rsidR="009F631A" w:rsidRDefault="009F631A" w:rsidP="009F631A">
      <w:pPr>
        <w:spacing w:line="256" w:lineRule="auto"/>
        <w:jc w:val="both"/>
      </w:pPr>
    </w:p>
    <w:p w:rsidR="009F631A" w:rsidRDefault="009F631A" w:rsidP="009F631A">
      <w:pPr>
        <w:spacing w:line="256" w:lineRule="auto"/>
        <w:jc w:val="both"/>
      </w:pPr>
    </w:p>
    <w:p w:rsidR="009F631A" w:rsidRDefault="009F631A" w:rsidP="009F631A">
      <w:pPr>
        <w:spacing w:line="256" w:lineRule="auto"/>
        <w:jc w:val="both"/>
      </w:pPr>
    </w:p>
    <w:p w:rsidR="009F631A" w:rsidRDefault="009F631A" w:rsidP="009F631A">
      <w:pPr>
        <w:spacing w:line="256" w:lineRule="auto"/>
        <w:jc w:val="both"/>
      </w:pPr>
    </w:p>
    <w:p w:rsidR="006A7C54" w:rsidRDefault="006A7C54" w:rsidP="006A7C54">
      <w:pPr>
        <w:jc w:val="both"/>
      </w:pPr>
    </w:p>
    <w:p w:rsidR="006A7C54" w:rsidRDefault="006A7C54" w:rsidP="006A7C54"/>
    <w:p w:rsidR="00C762B7" w:rsidRDefault="00C762B7" w:rsidP="00EA4468">
      <w:pPr>
        <w:tabs>
          <w:tab w:val="left" w:pos="0"/>
        </w:tabs>
        <w:ind w:right="-426"/>
        <w:jc w:val="both"/>
        <w:rPr>
          <w:rFonts w:eastAsia="Courier New"/>
          <w:b/>
        </w:rPr>
      </w:pPr>
    </w:p>
    <w:p w:rsidR="00C762B7" w:rsidRPr="006A7C54" w:rsidRDefault="00C762B7" w:rsidP="003761FF">
      <w:pPr>
        <w:pStyle w:val="Akapitzlist"/>
        <w:spacing w:line="280" w:lineRule="exact"/>
        <w:ind w:left="284"/>
        <w:jc w:val="both"/>
        <w:rPr>
          <w:rFonts w:ascii="Calibri" w:hAnsi="Calibri" w:cs="Calibri"/>
          <w:b/>
          <w:bCs/>
          <w:color w:val="FF0000"/>
        </w:rPr>
      </w:pPr>
    </w:p>
    <w:p w:rsidR="00A165F6" w:rsidRPr="006A7C54" w:rsidRDefault="00A165F6" w:rsidP="00A165F6">
      <w:pPr>
        <w:rPr>
          <w:color w:val="FF0000"/>
        </w:rPr>
      </w:pPr>
    </w:p>
    <w:p w:rsidR="00476407" w:rsidRPr="006A7C54" w:rsidRDefault="00476407">
      <w:pPr>
        <w:rPr>
          <w:color w:val="FF0000"/>
        </w:rPr>
      </w:pPr>
    </w:p>
    <w:sectPr w:rsidR="00476407" w:rsidRPr="006A7C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1521" w:rsidRDefault="00A81521" w:rsidP="00944BBB">
      <w:pPr>
        <w:spacing w:after="0" w:line="240" w:lineRule="auto"/>
      </w:pPr>
      <w:r>
        <w:separator/>
      </w:r>
    </w:p>
  </w:endnote>
  <w:endnote w:type="continuationSeparator" w:id="0">
    <w:p w:rsidR="00A81521" w:rsidRDefault="00A81521" w:rsidP="00944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1521" w:rsidRDefault="00A81521" w:rsidP="00944BBB">
      <w:pPr>
        <w:spacing w:after="0" w:line="240" w:lineRule="auto"/>
      </w:pPr>
      <w:r>
        <w:separator/>
      </w:r>
    </w:p>
  </w:footnote>
  <w:footnote w:type="continuationSeparator" w:id="0">
    <w:p w:rsidR="00A81521" w:rsidRDefault="00A81521" w:rsidP="00944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4BBB" w:rsidRPr="005855B1" w:rsidRDefault="00944BBB" w:rsidP="00944BBB">
    <w:pPr>
      <w:pStyle w:val="Nagwek"/>
      <w:jc w:val="right"/>
      <w:rPr>
        <w:rFonts w:ascii="Calibri" w:hAnsi="Calibri" w:cs="Calibri"/>
        <w:i/>
      </w:rPr>
    </w:pPr>
    <w:r w:rsidRPr="005855B1">
      <w:rPr>
        <w:rFonts w:ascii="Calibri" w:hAnsi="Calibri" w:cs="Calibri"/>
        <w:i/>
      </w:rPr>
      <w:t xml:space="preserve">Załącznik nr 1 do </w:t>
    </w:r>
    <w:r>
      <w:rPr>
        <w:rFonts w:ascii="Calibri" w:hAnsi="Calibri" w:cs="Calibri"/>
        <w:i/>
      </w:rPr>
      <w:t>umowy nr 3041-7.262.</w:t>
    </w:r>
    <w:r w:rsidR="00CE4AAF">
      <w:rPr>
        <w:rFonts w:ascii="Calibri" w:hAnsi="Calibri" w:cs="Calibri"/>
        <w:i/>
      </w:rPr>
      <w:t>346</w:t>
    </w:r>
    <w:r>
      <w:rPr>
        <w:rFonts w:ascii="Calibri" w:hAnsi="Calibri" w:cs="Calibri"/>
        <w:i/>
      </w:rPr>
      <w:t>.202</w:t>
    </w:r>
    <w:r w:rsidR="006A7C54">
      <w:rPr>
        <w:rFonts w:ascii="Calibri" w:hAnsi="Calibri" w:cs="Calibri"/>
        <w:i/>
      </w:rPr>
      <w:t>5</w:t>
    </w:r>
  </w:p>
  <w:p w:rsidR="00944BBB" w:rsidRDefault="00944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770DE"/>
    <w:multiLevelType w:val="hybridMultilevel"/>
    <w:tmpl w:val="7E8C3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001B4"/>
    <w:multiLevelType w:val="hybridMultilevel"/>
    <w:tmpl w:val="AEB6FF42"/>
    <w:lvl w:ilvl="0" w:tplc="1BD0529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A405B"/>
    <w:multiLevelType w:val="hybridMultilevel"/>
    <w:tmpl w:val="679C51F2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DA2F8D"/>
    <w:multiLevelType w:val="hybridMultilevel"/>
    <w:tmpl w:val="3E2EE284"/>
    <w:lvl w:ilvl="0" w:tplc="BEECFF92">
      <w:start w:val="1"/>
      <w:numFmt w:val="lowerLetter"/>
      <w:lvlText w:val="%1)"/>
      <w:lvlJc w:val="left"/>
      <w:pPr>
        <w:ind w:left="720" w:hanging="360"/>
      </w:pPr>
      <w:rPr>
        <w:rFonts w:asciiTheme="minorHAnsi" w:eastAsia="Courier New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916B6"/>
    <w:multiLevelType w:val="hybridMultilevel"/>
    <w:tmpl w:val="E17AB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407"/>
    <w:rsid w:val="000833C9"/>
    <w:rsid w:val="00091A8A"/>
    <w:rsid w:val="002037D8"/>
    <w:rsid w:val="0028017B"/>
    <w:rsid w:val="002C3583"/>
    <w:rsid w:val="00335E13"/>
    <w:rsid w:val="003761FF"/>
    <w:rsid w:val="003B6B40"/>
    <w:rsid w:val="003C023D"/>
    <w:rsid w:val="00476407"/>
    <w:rsid w:val="0048642B"/>
    <w:rsid w:val="00530812"/>
    <w:rsid w:val="005C062A"/>
    <w:rsid w:val="006629DF"/>
    <w:rsid w:val="006A7C54"/>
    <w:rsid w:val="006B0D8E"/>
    <w:rsid w:val="006B51CC"/>
    <w:rsid w:val="00792445"/>
    <w:rsid w:val="00882122"/>
    <w:rsid w:val="00944BBB"/>
    <w:rsid w:val="0097081B"/>
    <w:rsid w:val="009B4D69"/>
    <w:rsid w:val="009F631A"/>
    <w:rsid w:val="009F6AD0"/>
    <w:rsid w:val="00A165F6"/>
    <w:rsid w:val="00A254DB"/>
    <w:rsid w:val="00A81521"/>
    <w:rsid w:val="00A86203"/>
    <w:rsid w:val="00B2343B"/>
    <w:rsid w:val="00B573E4"/>
    <w:rsid w:val="00BC4959"/>
    <w:rsid w:val="00BE7AAB"/>
    <w:rsid w:val="00BF536D"/>
    <w:rsid w:val="00C51676"/>
    <w:rsid w:val="00C70D88"/>
    <w:rsid w:val="00C762B7"/>
    <w:rsid w:val="00CE4AAF"/>
    <w:rsid w:val="00E27B20"/>
    <w:rsid w:val="00E37F3A"/>
    <w:rsid w:val="00EA4468"/>
    <w:rsid w:val="00EC73AB"/>
    <w:rsid w:val="00F56AED"/>
    <w:rsid w:val="00F630C2"/>
    <w:rsid w:val="00F903A9"/>
    <w:rsid w:val="00FB148C"/>
    <w:rsid w:val="00FC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7E4C9-55BA-4F76-B072-8C516B1D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5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0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23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Średnia siatka 1 — akcent 21,List Paragraph,sw tekst,CW_Lista,Colorful List - Accent 11,Akapit z listą4,Colorful List Accent 1,Tytuł_procedury,BulletC,lp1"/>
    <w:basedOn w:val="Normalny"/>
    <w:link w:val="AkapitzlistZnak"/>
    <w:uiPriority w:val="34"/>
    <w:qFormat/>
    <w:rsid w:val="009F6A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4BBB"/>
  </w:style>
  <w:style w:type="paragraph" w:styleId="Stopka">
    <w:name w:val="footer"/>
    <w:basedOn w:val="Normalny"/>
    <w:link w:val="StopkaZnak"/>
    <w:uiPriority w:val="99"/>
    <w:unhideWhenUsed/>
    <w:rsid w:val="00944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4BBB"/>
  </w:style>
  <w:style w:type="character" w:customStyle="1" w:styleId="AkapitzlistZnak">
    <w:name w:val="Akapit z listą Znak"/>
    <w:aliases w:val="L1 Znak,Numerowanie Znak,Akapit z listą5 Znak,T_SZ_List Paragraph Znak,normalny tekst Znak,Akapit z listą BS Znak,Średnia siatka 1 — akcent 21 Znak,List Paragraph Znak,sw tekst Znak,CW_Lista Znak,Colorful List - Accent 11 Znak"/>
    <w:link w:val="Akapitzlist"/>
    <w:uiPriority w:val="34"/>
    <w:qFormat/>
    <w:locked/>
    <w:rsid w:val="00376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4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Mazur</dc:creator>
  <cp:keywords/>
  <dc:description/>
  <cp:lastModifiedBy>Kałuża Donata (PO Warszawa)</cp:lastModifiedBy>
  <cp:revision>21</cp:revision>
  <cp:lastPrinted>2025-11-06T07:32:00Z</cp:lastPrinted>
  <dcterms:created xsi:type="dcterms:W3CDTF">2023-03-20T15:04:00Z</dcterms:created>
  <dcterms:modified xsi:type="dcterms:W3CDTF">2025-11-06T07:32:00Z</dcterms:modified>
</cp:coreProperties>
</file>